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CC" w:rsidRPr="00317F4C" w:rsidRDefault="00B052CC" w:rsidP="00B052C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Cs w:val="20"/>
        </w:rPr>
      </w:pPr>
    </w:p>
    <w:p w:rsidR="00317F4C" w:rsidRPr="00317F4C" w:rsidRDefault="00317F4C" w:rsidP="00317F4C">
      <w:pPr>
        <w:autoSpaceDE w:val="0"/>
        <w:autoSpaceDN w:val="0"/>
        <w:adjustRightInd w:val="0"/>
        <w:spacing w:line="240" w:lineRule="auto"/>
        <w:ind w:left="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317F4C">
        <w:rPr>
          <w:rFonts w:ascii="Times New Roman" w:hAnsi="Times New Roman" w:cs="Times New Roman"/>
          <w:sz w:val="20"/>
          <w:szCs w:val="20"/>
        </w:rPr>
        <w:t>Приложение 9</w:t>
      </w:r>
    </w:p>
    <w:p w:rsidR="00317F4C" w:rsidRPr="00317F4C" w:rsidRDefault="00317F4C" w:rsidP="00317F4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317F4C">
        <w:rPr>
          <w:rFonts w:ascii="Times New Roman" w:hAnsi="Times New Roman" w:cs="Times New Roman"/>
          <w:sz w:val="20"/>
          <w:szCs w:val="20"/>
        </w:rPr>
        <w:t>к Закону Брянской области</w:t>
      </w:r>
    </w:p>
    <w:p w:rsidR="00317F4C" w:rsidRPr="00317F4C" w:rsidRDefault="00317F4C" w:rsidP="00317F4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317F4C">
        <w:rPr>
          <w:rFonts w:ascii="Times New Roman" w:hAnsi="Times New Roman" w:cs="Times New Roman"/>
          <w:sz w:val="20"/>
          <w:szCs w:val="20"/>
        </w:rPr>
        <w:t>"О межбюджетных отношениях</w:t>
      </w:r>
    </w:p>
    <w:p w:rsidR="00317F4C" w:rsidRPr="00317F4C" w:rsidRDefault="00317F4C" w:rsidP="00317F4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 w:val="20"/>
          <w:szCs w:val="20"/>
        </w:rPr>
      </w:pPr>
      <w:r w:rsidRPr="00317F4C">
        <w:rPr>
          <w:rFonts w:ascii="Times New Roman" w:hAnsi="Times New Roman" w:cs="Times New Roman"/>
          <w:sz w:val="20"/>
          <w:szCs w:val="20"/>
        </w:rPr>
        <w:t>в Брянской области"</w:t>
      </w:r>
    </w:p>
    <w:p w:rsidR="00317F4C" w:rsidRDefault="00317F4C" w:rsidP="00317F4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Cs w:val="20"/>
        </w:rPr>
      </w:pPr>
    </w:p>
    <w:p w:rsidR="00317F4C" w:rsidRPr="00317F4C" w:rsidRDefault="00317F4C" w:rsidP="00317F4C">
      <w:pPr>
        <w:autoSpaceDE w:val="0"/>
        <w:autoSpaceDN w:val="0"/>
        <w:adjustRightInd w:val="0"/>
        <w:spacing w:line="240" w:lineRule="auto"/>
        <w:ind w:left="0"/>
        <w:jc w:val="right"/>
        <w:rPr>
          <w:rFonts w:ascii="Times New Roman" w:hAnsi="Times New Roman" w:cs="Times New Roman"/>
          <w:szCs w:val="20"/>
        </w:rPr>
      </w:pPr>
    </w:p>
    <w:p w:rsidR="00B052CC" w:rsidRPr="007B23F4" w:rsidRDefault="00B052CC" w:rsidP="00317F4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B23F4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определения объемов и распределения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поселений из бюджетов муниципальных районов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1. Объемы районных фондов финансовой поддержки поселений определяются исходя из дотаций на выравнивание бюджетной обеспеченности поселений из бюджетов муниципальных районов.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 района, за исключением дотаций, предоставляемых за счет субвенций из областного бюджета, распределяются на выравнивание бюджетной обеспеченности поселений в соответствии со следующим порядком.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 поселения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ИНПi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ИБРi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индекс налогового потенциала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2. Расчет индекса налогового потенциала поселения.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Индекс налогового потенциала (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>) - отношение налогового потенциала поселения в расчете на одного жителя к аналогичному показателю в среднем по поселениям данного муниципального района.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Налоговый потенциал поселения - оценка налоговых доходов, которые потенциально могут быть получены бюджетом поселения исходя из уровня развития и структуры экономики на территории поселения.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Индекс налогового потенциала поселения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ИНПi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Дотi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(П)) /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/ (НП + До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П)) / Н,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ИНП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индекс налогового потенциала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lastRenderedPageBreak/>
        <w:t>НП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налоговый потенциал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Дот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>(П) - расчетный размер дотаций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поселению из бюджета муниципального района, предоставляемых за счет субвенций из областного бюджета;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поселения, входящего в состав данного муниципального района, на начало года, следующего за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НП - суммарный налоговый потенциал всех поселений, входящих в состав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П) - суммарный расчетный размер дотаций поселениям из бюджета муниципального района, предоставляемых за счет субвенций из областного бюджета;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 xml:space="preserve">Н - численность постоянного населения данного муниципального района на начало года, следующего за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Перечень налогов для оценки налогового потенциала поселений, входящих в состав муниципального района: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налог на доходы физических лиц;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налог на имущество физических лиц;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единый сельскохозяйственный налог;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земельный налог.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2.1. Налоговый потенциал по налогу на доходы физических лиц поселения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НПндфл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ФОТi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Дндфлi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Нндфлi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НПндфл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налоговый потенциал по налогу на доходы физических лиц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ФОТ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прогноз фонда оплаты труда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на соответствующий финансовый год;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Дндфл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доля налога на доходы физических лиц в оценке фонда оплаты труда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Нндфл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норматив отчислений в бюджет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по налогу на доходы физических лиц.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lastRenderedPageBreak/>
        <w:t>2.2. Налоговый потенциал по налогу на имущество физических лиц поселения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НПнифл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НАЧнифлi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ВДнифлi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НПнифл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налоговый потенциал на имущество физических лиц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НАЧнифл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прогноз начислений налога на имущество физических лиц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на соответствующий финансовый год;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ВДнифл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прогнозируемая сумма выпадающих доходов в связи с предоставлением налоговых льгот и уменьшением ставок налога на имущество физических лиц по решениям органов местного самоуправления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2.3. Индекс налогового потенциала поселения по единому сельскохозяйственному налогу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НПесхн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ПрНБi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Сесхн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Несхн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НПесхн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налоговый потенциал по единому сельскохозяйственному налогу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ПрНБ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прогнозируемая налоговая база единого сельскохозяйственного налога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на соответствующий финансовый год;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Сесхн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ставка единого сельскохозяйственного налога в соответствии с Налоговым </w:t>
      </w:r>
      <w:hyperlink r:id="rId5" w:history="1">
        <w:r w:rsidRPr="007B23F4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7B23F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Несхн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норматив отчислений в бюджет поселения.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2.4. Налоговый потенциал поселения по земельному налогу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НПзн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НАЧзнi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ВДзнi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НПзн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налоговый потенциал по земельному налогу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НАЧзн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прогноз начислений земельного налога по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поселению на соответствующий финансовый год;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ВДзн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прогнозируемая сумма выпадающих доходов в связи с предоставлением налоговых льгот и уменьшением ставок земельного налога по решениям органов местного самоуправления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2.5. Налоговый потенциал поселения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noProof/>
          <w:position w:val="-13"/>
          <w:sz w:val="28"/>
          <w:szCs w:val="28"/>
          <w:lang w:eastAsia="ru-RU"/>
        </w:rPr>
        <w:lastRenderedPageBreak/>
        <w:drawing>
          <wp:inline distT="0" distB="0" distL="0" distR="0" wp14:anchorId="71DF66F0" wp14:editId="227CE7CC">
            <wp:extent cx="1089660" cy="289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налоговый потенциал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НП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ij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налоговый потенциал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по j-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налогу;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n - количество поселений.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Рассчитанные оценки налогового потенциала не являются планируемыми или рекомендуемыми показателями доходов бюджетов поселений и используются только для расчета бюджетной обеспеченности поселений в целях межбюджетного регулирования.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3. Расчет индекса бюджетных расходов поселений.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Индекс бюджетных расходов (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>) - относительная (по сравнению со средним по всем поселениям муниципального района уровнем) оценка расходных обязательств, связанных с решением вопросов местного значения поселения, с учетом специфики социально-экономических показателей и иных объективных факторов и условий, влияющих на стоимость предоставления одного и того же объема муниципальных услуг.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Показатели индекса бюджетных расходов не являются планируемыми или рекомендуемыми показателями, определяющими расходы бюджетов поселений, и используются только для сопоставления бюджетной обеспеченности поселений в рамках настоящей методики.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Индекс бюджетных расходов, учитывающий особенности расходных потребностей поселений, определяется на базе нормативных расходов местных бюджетов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Расхi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) / (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Расх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/ Ч),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Расх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общая сумма нормативных расходов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на начало года, следующего за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Расх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общая сумма нормативных расходов бюджетов поселений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7B23F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расходы по отдельным видам расходных обязательств поселений в соответствии со </w:t>
      </w:r>
      <w:hyperlink r:id="rId7" w:history="1">
        <w:r w:rsidRPr="007B23F4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7B23F4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N 131-ФЗ рассчитываются исходя из численности потребителей муниципальных услуг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и единых (групповых) норм расходов на одного потребителя муниципальных услуг для сельских поселений и единых (групповых) норм расходов на одного потребителя муниципальных услуг для городских поселений.</w:t>
      </w:r>
      <w:proofErr w:type="gramEnd"/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если уставами муниципального района и поселения, являющегося административным центром муниципального района, предусмотрено образование местной администрации муниципального района, на которую возлагается исполнение полномочий местной администрации указанного поселения, расходы на содержание органов местного самоуправления данных поселений учитываются в нормативах на финансовое обеспечение деятельности органов местного самоуправления муниципальных районов.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 xml:space="preserve">4. Порядок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определения критерия выравнивания расчетной бюджетной обеспеченности поселений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 района предоставляются бюджетам поселений, уровень расчетной бюджетной обеспеченности которых не превышает уровень, установленный в качестве критерия выравнивания расчетной бюджетной обеспеченности поселений.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Критерий выравнивания расчетной бюджетной обеспеченности поселений определяется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К = (НП + До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П) + Дот) / (НП + Дот(П)),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gramStart"/>
      <w:r w:rsidRPr="007B23F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критерий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выравнивания расчетной бюджетной обеспеченности поселений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НП - налоговый потенциал поселений муниципального района по учтенным в методике показателям;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П) - суммарный расчетный размер дотаций поселениям из бюджета муниципального района, предоставляемых за счет субвенций из областного бюджета;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Дот - общий объем дотаций поселениям из бюджета муниципального района.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5. Расчет размера дотации на выравнивание бюджетной обеспеченности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производится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Дотi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= Дот x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Тi</w:t>
      </w:r>
      <w:proofErr w:type="spellEnd"/>
      <w:proofErr w:type="gramStart"/>
      <w:r w:rsidRPr="007B23F4">
        <w:rPr>
          <w:rFonts w:ascii="Times New Roman" w:hAnsi="Times New Roman" w:cs="Times New Roman"/>
          <w:sz w:val="28"/>
          <w:szCs w:val="28"/>
        </w:rPr>
        <w:t xml:space="preserve"> / Т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Дот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размер дотации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поселению из бюджета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lastRenderedPageBreak/>
        <w:t>Дот - общий объем дотаций поселениям из бюджета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для доведения бюджетной обеспеченности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до уровня, соответствующего среднему уровню расходных обязательств поселений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Т - суммарный объем средств, необходимый для доведения бюджетной обеспеченности поселений, входящих в состав данного муниципального района, до уровня, соответствующего среднему уровню расходных обязательств поселений данного муниципального района.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Объем средств, необходимый для доведения уровня бюджетной обеспеченности поселения до уровня, соответствующего среднему уровню расходных обязательств поселений данного муниципального района,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(НП / Ч) x (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ИБРi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&lt;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;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= 0, если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&gt;= 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>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для доведения уровня бюджетной обеспеченности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до уровня бюджетной обеспеченности, соответствующего среднему уровню расходных обязательств поселений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НП - налоговый потенциал поселений данного муниципального района, учтенный в методике;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 xml:space="preserve">Ч - численность постоянного населения поселений данного муниципального района на начало года, следующего за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БОср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обеспеченности, соответствующий среднему уровню расходных обязательств поселений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БО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уровень расчетной бюджетной обеспеченности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ИБР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7B23F4">
        <w:rPr>
          <w:rFonts w:ascii="Times New Roman" w:hAnsi="Times New Roman" w:cs="Times New Roman"/>
          <w:sz w:val="28"/>
          <w:szCs w:val="28"/>
        </w:rPr>
        <w:t xml:space="preserve"> - индекс бюджетных расходов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данного муниципального района;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- численность постоянного населения i-</w:t>
      </w:r>
      <w:proofErr w:type="spellStart"/>
      <w:r w:rsidRPr="007B23F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поселения данного муниципального района на начало года, следующего за 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Уровень расчетной бюджетной обеспеченности, соответствующий среднему уровню расходных обязательств поселений данного муниципального района, рассчитывается по следующей формуле: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B23F4">
        <w:rPr>
          <w:rFonts w:ascii="Times New Roman" w:hAnsi="Times New Roman" w:cs="Times New Roman"/>
          <w:sz w:val="28"/>
          <w:szCs w:val="28"/>
        </w:rPr>
        <w:lastRenderedPageBreak/>
        <w:t>БОср</w:t>
      </w:r>
      <w:proofErr w:type="spellEnd"/>
      <w:r w:rsidRPr="007B23F4">
        <w:rPr>
          <w:rFonts w:ascii="Times New Roman" w:hAnsi="Times New Roman" w:cs="Times New Roman"/>
          <w:sz w:val="28"/>
          <w:szCs w:val="28"/>
        </w:rPr>
        <w:t xml:space="preserve"> = (НП - СП + До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П) + Дот) / (НП + Дот(П)), где: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НП - налоговый потенциал поселений данного муниципального района, учтенный в методике;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СП - общий размер субсидий из бюджетов поселений данного муниципального района в областной бюджет;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</w:t>
      </w:r>
      <w:proofErr w:type="gramStart"/>
      <w:r w:rsidRPr="007B23F4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7B23F4">
        <w:rPr>
          <w:rFonts w:ascii="Times New Roman" w:hAnsi="Times New Roman" w:cs="Times New Roman"/>
          <w:sz w:val="28"/>
          <w:szCs w:val="28"/>
        </w:rPr>
        <w:t>П) - суммарный расчетный размер дотаций поселениям из бюджета муниципального района, предоставляемых за счет субвенций из областного бюджета;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Дот - общий объем дотаций бюджетам поселений из бюджета муниципального района.</w:t>
      </w:r>
    </w:p>
    <w:p w:rsidR="00B052CC" w:rsidRPr="007B23F4" w:rsidRDefault="00B052CC" w:rsidP="00B052CC">
      <w:pPr>
        <w:autoSpaceDE w:val="0"/>
        <w:autoSpaceDN w:val="0"/>
        <w:adjustRightInd w:val="0"/>
        <w:spacing w:before="20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7B23F4">
        <w:rPr>
          <w:rFonts w:ascii="Times New Roman" w:hAnsi="Times New Roman" w:cs="Times New Roman"/>
          <w:sz w:val="28"/>
          <w:szCs w:val="28"/>
        </w:rPr>
        <w:t>Объем и распределение дотаций на выравнивание бюджетной обеспеченности поселений из бюджета муниципального района утверждается решением представительного органа муниципального района о бюджете муниципального района на очередной финансовый год и плановый период.</w:t>
      </w: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B052CC" w:rsidRPr="007B23F4" w:rsidRDefault="00B052CC" w:rsidP="00B052CC">
      <w:pPr>
        <w:autoSpaceDE w:val="0"/>
        <w:autoSpaceDN w:val="0"/>
        <w:adjustRightInd w:val="0"/>
        <w:spacing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</w:p>
    <w:p w:rsidR="009F5B7E" w:rsidRPr="007B23F4" w:rsidRDefault="009F5B7E">
      <w:pPr>
        <w:rPr>
          <w:rFonts w:ascii="Times New Roman" w:hAnsi="Times New Roman" w:cs="Times New Roman"/>
          <w:sz w:val="28"/>
          <w:szCs w:val="28"/>
        </w:rPr>
      </w:pPr>
    </w:p>
    <w:sectPr w:rsidR="009F5B7E" w:rsidRPr="007B23F4" w:rsidSect="00253569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2CC"/>
    <w:rsid w:val="00317F4C"/>
    <w:rsid w:val="007B23F4"/>
    <w:rsid w:val="009F5B7E"/>
    <w:rsid w:val="00AD4BEC"/>
    <w:rsid w:val="00B052CC"/>
    <w:rsid w:val="00C8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2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52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52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6D6C8781951D1BD3C880EBA89B5D106598125BC775ACCFAC0BFEE34DCE4B4A5B36847A39B5B767DB67F2978BEA2D2D9BB6D2B5E2BWBY7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56D6C8781951D1BD3C880EBA89B5D106598021BD725CCCFAC0BFEE34DCE4B4A5A1681FAA985B6328E6257E75BEWAYF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Pyreva</dc:creator>
  <cp:lastModifiedBy>User</cp:lastModifiedBy>
  <cp:revision>5</cp:revision>
  <dcterms:created xsi:type="dcterms:W3CDTF">2018-11-15T11:24:00Z</dcterms:created>
  <dcterms:modified xsi:type="dcterms:W3CDTF">2018-11-15T12:49:00Z</dcterms:modified>
</cp:coreProperties>
</file>